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styles.xml" ContentType="application/vnd.openxmlformats-officedocument.wordprocessingml.styles+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customXml/itemProps1.xml" ContentType="application/vnd.openxmlformats-officedocument.customXmlProperties+xml"/>
  <Override PartName="/word/footnotes.xml" ContentType="application/vnd.openxmlformats-officedocument.wordprocessingml.footnotes+xml"/>
  <Override PartName="/word/footer2.xml" ContentType="application/vnd.openxmlformats-officedocument.wordprocessingml.footer+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BC4" w:rsidRPr="00822BC4" w:rsidRDefault="00822BC4" w:rsidP="00822BC4">
      <w:pPr>
        <w:spacing w:line="276" w:lineRule="auto"/>
        <w:jc w:val="center"/>
        <w:rPr>
          <w:rFonts w:asciiTheme="minorHAnsi" w:eastAsiaTheme="minorHAnsi" w:hAnsiTheme="minorHAnsi" w:cstheme="minorHAnsi"/>
          <w:b/>
          <w:sz w:val="22"/>
          <w:szCs w:val="22"/>
          <w:lang w:val="en-US"/>
        </w:rPr>
      </w:pPr>
      <w:bookmarkStart w:id="0" w:name="_GoBack"/>
      <w:bookmarkEnd w:id="0"/>
      <w:r w:rsidRPr="00822BC4">
        <w:rPr>
          <w:rFonts w:asciiTheme="minorHAnsi" w:eastAsiaTheme="minorHAnsi" w:hAnsiTheme="minorHAnsi" w:cstheme="minorHAnsi"/>
          <w:b/>
          <w:sz w:val="22"/>
          <w:szCs w:val="22"/>
          <w:lang w:val="en-US"/>
        </w:rPr>
        <w:t>NB Aurora S.A. SICAF-RAIF</w:t>
      </w:r>
    </w:p>
    <w:p w:rsidR="00822BC4" w:rsidRPr="00822BC4" w:rsidRDefault="00822BC4" w:rsidP="00822BC4">
      <w:pPr>
        <w:spacing w:line="276" w:lineRule="auto"/>
        <w:jc w:val="center"/>
        <w:rPr>
          <w:rFonts w:asciiTheme="minorHAnsi" w:eastAsiaTheme="minorHAnsi" w:hAnsiTheme="minorHAnsi" w:cstheme="minorHAnsi"/>
          <w:i/>
          <w:sz w:val="22"/>
          <w:szCs w:val="22"/>
          <w:lang w:val="fr-LU"/>
        </w:rPr>
      </w:pPr>
      <w:r w:rsidRPr="00822BC4">
        <w:rPr>
          <w:rFonts w:asciiTheme="minorHAnsi" w:eastAsiaTheme="minorHAnsi" w:hAnsiTheme="minorHAnsi" w:cstheme="minorHAnsi"/>
          <w:i/>
          <w:sz w:val="22"/>
          <w:szCs w:val="22"/>
          <w:lang w:val="fr-LU"/>
        </w:rPr>
        <w:t>Société anonyme</w:t>
      </w:r>
    </w:p>
    <w:p w:rsidR="00822BC4" w:rsidRPr="00822BC4" w:rsidRDefault="00822BC4" w:rsidP="00822BC4">
      <w:pPr>
        <w:spacing w:line="276" w:lineRule="auto"/>
        <w:jc w:val="center"/>
        <w:rPr>
          <w:rFonts w:asciiTheme="minorHAnsi" w:eastAsiaTheme="minorHAnsi" w:hAnsiTheme="minorHAnsi" w:cstheme="minorHAnsi"/>
          <w:i/>
          <w:sz w:val="22"/>
          <w:szCs w:val="22"/>
          <w:lang w:val="fr-LU"/>
        </w:rPr>
      </w:pPr>
      <w:r w:rsidRPr="00822BC4">
        <w:rPr>
          <w:rFonts w:asciiTheme="minorHAnsi" w:eastAsiaTheme="minorHAnsi" w:hAnsiTheme="minorHAnsi" w:cstheme="minorHAnsi"/>
          <w:i/>
          <w:sz w:val="22"/>
          <w:szCs w:val="22"/>
          <w:lang w:val="fr-LU"/>
        </w:rPr>
        <w:t>Société d’investissement à capital fixe</w:t>
      </w:r>
    </w:p>
    <w:p w:rsidR="00822BC4" w:rsidRPr="00822BC4" w:rsidRDefault="00822BC4" w:rsidP="00822BC4">
      <w:pPr>
        <w:spacing w:line="276" w:lineRule="auto"/>
        <w:jc w:val="center"/>
        <w:rPr>
          <w:rFonts w:asciiTheme="minorHAnsi" w:eastAsiaTheme="minorHAnsi" w:hAnsiTheme="minorHAnsi" w:cstheme="minorHAnsi"/>
          <w:i/>
          <w:sz w:val="22"/>
          <w:szCs w:val="22"/>
          <w:lang w:val="fr-LU"/>
        </w:rPr>
      </w:pPr>
      <w:r w:rsidRPr="00822BC4">
        <w:rPr>
          <w:rFonts w:asciiTheme="minorHAnsi" w:eastAsiaTheme="minorHAnsi" w:hAnsiTheme="minorHAnsi" w:cstheme="minorHAnsi"/>
          <w:i/>
          <w:sz w:val="22"/>
          <w:szCs w:val="22"/>
          <w:lang w:val="fr-LU"/>
        </w:rPr>
        <w:t>Fonds d’investissement alternatif réservé</w:t>
      </w:r>
    </w:p>
    <w:p w:rsidR="00822BC4" w:rsidRPr="00822BC4" w:rsidRDefault="00822BC4" w:rsidP="00822BC4">
      <w:pPr>
        <w:spacing w:line="276" w:lineRule="auto"/>
        <w:jc w:val="center"/>
        <w:rPr>
          <w:rFonts w:asciiTheme="minorHAnsi" w:eastAsiaTheme="minorHAnsi" w:hAnsiTheme="minorHAnsi" w:cstheme="minorHAnsi"/>
          <w:sz w:val="22"/>
          <w:szCs w:val="22"/>
          <w:lang w:val="fr-LU"/>
        </w:rPr>
      </w:pPr>
      <w:r w:rsidRPr="00822BC4">
        <w:rPr>
          <w:rFonts w:asciiTheme="minorHAnsi" w:eastAsiaTheme="minorHAnsi" w:hAnsiTheme="minorHAnsi" w:cstheme="minorHAnsi"/>
          <w:sz w:val="22"/>
          <w:szCs w:val="22"/>
          <w:lang w:val="fr-LU"/>
        </w:rPr>
        <w:t>Registered office: 28-32 Place de la Gare, L-1616 Luxembourg</w:t>
      </w:r>
    </w:p>
    <w:p w:rsidR="00822BC4" w:rsidRPr="00822BC4" w:rsidRDefault="00822BC4" w:rsidP="00822BC4">
      <w:pPr>
        <w:spacing w:line="276" w:lineRule="auto"/>
        <w:jc w:val="center"/>
        <w:rPr>
          <w:rFonts w:asciiTheme="minorHAnsi" w:eastAsiaTheme="minorHAnsi" w:hAnsiTheme="minorHAnsi" w:cstheme="minorHAnsi"/>
          <w:sz w:val="22"/>
          <w:szCs w:val="22"/>
          <w:lang w:val="fr-LU"/>
        </w:rPr>
      </w:pPr>
      <w:r w:rsidRPr="00822BC4">
        <w:rPr>
          <w:rFonts w:asciiTheme="minorHAnsi" w:eastAsiaTheme="minorHAnsi" w:hAnsiTheme="minorHAnsi" w:cstheme="minorHAnsi"/>
          <w:sz w:val="22"/>
          <w:szCs w:val="22"/>
          <w:lang w:val="fr-LU"/>
        </w:rPr>
        <w:t>Grand-Duché de Luxembourg</w:t>
      </w:r>
    </w:p>
    <w:p w:rsidR="00822BC4" w:rsidRPr="008176DD" w:rsidRDefault="00822BC4" w:rsidP="00822BC4">
      <w:pPr>
        <w:spacing w:line="276" w:lineRule="auto"/>
        <w:jc w:val="center"/>
        <w:rPr>
          <w:rFonts w:asciiTheme="minorHAnsi" w:eastAsiaTheme="minorHAnsi" w:hAnsiTheme="minorHAnsi" w:cstheme="minorHAnsi"/>
          <w:sz w:val="22"/>
          <w:szCs w:val="22"/>
          <w:lang w:val="fr-LU"/>
        </w:rPr>
      </w:pPr>
      <w:r w:rsidRPr="00822BC4">
        <w:rPr>
          <w:rFonts w:asciiTheme="minorHAnsi" w:eastAsiaTheme="minorHAnsi" w:hAnsiTheme="minorHAnsi" w:cstheme="minorHAnsi"/>
          <w:sz w:val="22"/>
          <w:szCs w:val="22"/>
          <w:lang w:val="fr-LU"/>
        </w:rPr>
        <w:t>RCS Luxembourg: B 218101</w:t>
      </w:r>
    </w:p>
    <w:p w:rsidR="00EE7221" w:rsidRPr="00086579" w:rsidRDefault="00EE7221" w:rsidP="00822BC4">
      <w:pPr>
        <w:spacing w:line="276" w:lineRule="auto"/>
        <w:jc w:val="center"/>
        <w:rPr>
          <w:rFonts w:asciiTheme="minorHAnsi" w:eastAsiaTheme="minorHAnsi" w:hAnsiTheme="minorHAnsi" w:cstheme="minorHAnsi"/>
          <w:sz w:val="22"/>
          <w:szCs w:val="22"/>
          <w:lang w:val="en-US"/>
        </w:rPr>
      </w:pPr>
      <w:r w:rsidRPr="008176DD">
        <w:rPr>
          <w:rFonts w:asciiTheme="minorHAnsi" w:hAnsiTheme="minorHAnsi" w:cstheme="minorHAnsi"/>
          <w:bCs/>
          <w:sz w:val="22"/>
          <w:szCs w:val="22"/>
          <w:lang w:val="en-US"/>
        </w:rPr>
        <w:t>(the “</w:t>
      </w:r>
      <w:r w:rsidRPr="008176DD">
        <w:rPr>
          <w:rFonts w:asciiTheme="minorHAnsi" w:hAnsiTheme="minorHAnsi" w:cstheme="minorHAnsi"/>
          <w:b/>
          <w:bCs/>
          <w:sz w:val="22"/>
          <w:szCs w:val="22"/>
          <w:lang w:val="en-US"/>
        </w:rPr>
        <w:t>Company</w:t>
      </w:r>
      <w:r w:rsidRPr="008176DD">
        <w:rPr>
          <w:rFonts w:asciiTheme="minorHAnsi" w:hAnsiTheme="minorHAnsi" w:cstheme="minorHAnsi"/>
          <w:bCs/>
          <w:sz w:val="22"/>
          <w:szCs w:val="22"/>
          <w:lang w:val="en-US"/>
        </w:rPr>
        <w:t>”</w:t>
      </w:r>
      <w:r w:rsidRPr="00086579">
        <w:rPr>
          <w:rFonts w:asciiTheme="minorHAnsi" w:eastAsiaTheme="minorHAnsi" w:hAnsiTheme="minorHAnsi" w:cstheme="minorHAnsi"/>
          <w:sz w:val="22"/>
          <w:szCs w:val="22"/>
          <w:lang w:val="en-US"/>
        </w:rPr>
        <w:t>)</w:t>
      </w:r>
    </w:p>
    <w:p w:rsidR="00822BC4" w:rsidRPr="008176DD" w:rsidRDefault="00822BC4" w:rsidP="00822BC4">
      <w:pPr>
        <w:pBdr>
          <w:bottom w:val="single" w:sz="6" w:space="1" w:color="auto"/>
        </w:pBdr>
        <w:spacing w:before="200" w:line="276" w:lineRule="auto"/>
        <w:jc w:val="center"/>
        <w:rPr>
          <w:rFonts w:asciiTheme="minorHAnsi" w:eastAsiaTheme="minorHAnsi" w:hAnsiTheme="minorHAnsi" w:cstheme="minorHAnsi"/>
          <w:b/>
          <w:sz w:val="22"/>
          <w:szCs w:val="22"/>
          <w:lang w:val="en-US"/>
        </w:rPr>
      </w:pPr>
    </w:p>
    <w:p w:rsidR="00822BC4" w:rsidRPr="008176DD" w:rsidRDefault="00822BC4" w:rsidP="00822BC4">
      <w:pPr>
        <w:spacing w:line="276" w:lineRule="auto"/>
        <w:jc w:val="center"/>
        <w:rPr>
          <w:rFonts w:asciiTheme="minorHAnsi" w:eastAsiaTheme="minorHAnsi" w:hAnsiTheme="minorHAnsi" w:cstheme="minorHAnsi"/>
          <w:b/>
          <w:sz w:val="22"/>
          <w:szCs w:val="22"/>
          <w:lang w:val="en-US"/>
        </w:rPr>
      </w:pPr>
    </w:p>
    <w:p w:rsidR="00822BC4" w:rsidRPr="00B75EE2" w:rsidRDefault="00B75EE2" w:rsidP="00822BC4">
      <w:pPr>
        <w:spacing w:line="276" w:lineRule="auto"/>
        <w:jc w:val="center"/>
        <w:rPr>
          <w:rFonts w:asciiTheme="minorHAnsi" w:eastAsiaTheme="minorHAnsi" w:hAnsiTheme="minorHAnsi" w:cstheme="minorHAnsi"/>
          <w:b/>
          <w:i/>
          <w:sz w:val="22"/>
          <w:szCs w:val="22"/>
          <w:lang w:val="en-US"/>
        </w:rPr>
      </w:pPr>
      <w:r w:rsidRPr="00B75EE2">
        <w:rPr>
          <w:rFonts w:asciiTheme="minorHAnsi" w:eastAsiaTheme="minorHAnsi" w:hAnsiTheme="minorHAnsi" w:cstheme="minorHAnsi"/>
          <w:b/>
          <w:i/>
          <w:sz w:val="22"/>
          <w:szCs w:val="22"/>
          <w:lang w:val="en-US"/>
        </w:rPr>
        <w:t xml:space="preserve">PROPOSED RESOLUTIONS TO THE </w:t>
      </w:r>
      <w:r w:rsidR="00822BC4" w:rsidRPr="00B75EE2">
        <w:rPr>
          <w:rFonts w:asciiTheme="minorHAnsi" w:eastAsiaTheme="minorHAnsi" w:hAnsiTheme="minorHAnsi" w:cstheme="minorHAnsi"/>
          <w:b/>
          <w:i/>
          <w:sz w:val="22"/>
          <w:szCs w:val="22"/>
          <w:lang w:val="en-US"/>
        </w:rPr>
        <w:t xml:space="preserve">EXTRAORDINARY GENERAL MEETING </w:t>
      </w:r>
      <w:r w:rsidRPr="00B75EE2">
        <w:rPr>
          <w:rFonts w:asciiTheme="minorHAnsi" w:eastAsiaTheme="minorHAnsi" w:hAnsiTheme="minorHAnsi" w:cstheme="minorHAnsi"/>
          <w:b/>
          <w:i/>
          <w:sz w:val="22"/>
          <w:szCs w:val="22"/>
          <w:lang w:val="en-US"/>
        </w:rPr>
        <w:t xml:space="preserve">TO BE </w:t>
      </w:r>
      <w:r w:rsidR="005444A8" w:rsidRPr="00B75EE2">
        <w:rPr>
          <w:rFonts w:asciiTheme="minorHAnsi" w:eastAsiaTheme="minorHAnsi" w:hAnsiTheme="minorHAnsi" w:cstheme="minorHAnsi"/>
          <w:b/>
          <w:i/>
          <w:sz w:val="22"/>
          <w:szCs w:val="22"/>
          <w:lang w:val="en-US"/>
        </w:rPr>
        <w:t>HELD ON</w:t>
      </w:r>
      <w:r w:rsidR="00822BC4" w:rsidRPr="00B75EE2">
        <w:rPr>
          <w:rFonts w:asciiTheme="minorHAnsi" w:eastAsiaTheme="minorHAnsi" w:hAnsiTheme="minorHAnsi" w:cstheme="minorHAnsi"/>
          <w:b/>
          <w:i/>
          <w:sz w:val="22"/>
          <w:szCs w:val="22"/>
          <w:lang w:val="en-US"/>
        </w:rPr>
        <w:t xml:space="preserve"> </w:t>
      </w:r>
      <w:r w:rsidR="00086579" w:rsidRPr="00B75EE2">
        <w:rPr>
          <w:rFonts w:asciiTheme="minorHAnsi" w:eastAsiaTheme="minorHAnsi" w:hAnsiTheme="minorHAnsi" w:cstheme="minorHAnsi"/>
          <w:b/>
          <w:i/>
          <w:sz w:val="22"/>
          <w:szCs w:val="22"/>
          <w:lang w:val="en-US"/>
        </w:rPr>
        <w:t>3 APRIL</w:t>
      </w:r>
      <w:r w:rsidR="00822BC4" w:rsidRPr="00B75EE2">
        <w:rPr>
          <w:rFonts w:asciiTheme="minorHAnsi" w:eastAsiaTheme="minorHAnsi" w:hAnsiTheme="minorHAnsi" w:cstheme="minorHAnsi"/>
          <w:b/>
          <w:i/>
          <w:sz w:val="22"/>
          <w:szCs w:val="22"/>
          <w:lang w:val="en-US"/>
        </w:rPr>
        <w:t xml:space="preserve"> 2020</w:t>
      </w:r>
      <w:r w:rsidR="005444A8" w:rsidRPr="00B75EE2">
        <w:rPr>
          <w:rFonts w:asciiTheme="minorHAnsi" w:eastAsiaTheme="minorHAnsi" w:hAnsiTheme="minorHAnsi" w:cstheme="minorHAnsi"/>
          <w:b/>
          <w:i/>
          <w:sz w:val="22"/>
          <w:szCs w:val="22"/>
          <w:lang w:val="en-US"/>
        </w:rPr>
        <w:t xml:space="preserve"> AT</w:t>
      </w:r>
      <w:r w:rsidR="00EE7221" w:rsidRPr="00B75EE2">
        <w:rPr>
          <w:rFonts w:asciiTheme="minorHAnsi" w:eastAsiaTheme="minorHAnsi" w:hAnsiTheme="minorHAnsi" w:cstheme="minorHAnsi"/>
          <w:b/>
          <w:i/>
          <w:sz w:val="22"/>
          <w:szCs w:val="22"/>
          <w:lang w:val="en-US"/>
        </w:rPr>
        <w:t xml:space="preserve"> THE REGISTERED OFFICE OF THE COMPANY</w:t>
      </w:r>
    </w:p>
    <w:p w:rsidR="00822BC4" w:rsidRPr="00822BC4" w:rsidRDefault="00822BC4" w:rsidP="00822BC4">
      <w:pPr>
        <w:pBdr>
          <w:bottom w:val="single" w:sz="6" w:space="1" w:color="auto"/>
        </w:pBdr>
        <w:spacing w:line="276" w:lineRule="auto"/>
        <w:jc w:val="center"/>
        <w:rPr>
          <w:rFonts w:asciiTheme="minorHAnsi" w:eastAsiaTheme="minorHAnsi" w:hAnsiTheme="minorHAnsi" w:cstheme="minorHAnsi"/>
          <w:b/>
          <w:sz w:val="22"/>
          <w:szCs w:val="22"/>
          <w:lang w:val="en-US"/>
        </w:rPr>
      </w:pPr>
    </w:p>
    <w:p w:rsidR="00822BC4" w:rsidRPr="008176DD" w:rsidRDefault="00822BC4" w:rsidP="009C320B">
      <w:pPr>
        <w:spacing w:before="200" w:after="200" w:line="276" w:lineRule="auto"/>
        <w:rPr>
          <w:rFonts w:asciiTheme="minorHAnsi" w:hAnsiTheme="minorHAnsi" w:cstheme="minorHAnsi"/>
          <w:sz w:val="22"/>
          <w:szCs w:val="22"/>
          <w:lang w:val="en-US"/>
        </w:rPr>
      </w:pPr>
    </w:p>
    <w:p w:rsidR="009C320B" w:rsidRPr="008176DD" w:rsidRDefault="009C320B" w:rsidP="00AB497C">
      <w:pPr>
        <w:keepNext/>
        <w:keepLines/>
        <w:spacing w:before="200" w:after="200" w:line="276" w:lineRule="auto"/>
        <w:jc w:val="center"/>
        <w:rPr>
          <w:rFonts w:asciiTheme="minorHAnsi" w:hAnsiTheme="minorHAnsi" w:cstheme="minorHAnsi"/>
          <w:b/>
          <w:sz w:val="22"/>
          <w:szCs w:val="22"/>
          <w:u w:val="single"/>
          <w:lang w:val="en-US"/>
        </w:rPr>
      </w:pPr>
      <w:r w:rsidRPr="008176DD">
        <w:rPr>
          <w:rFonts w:asciiTheme="minorHAnsi" w:hAnsiTheme="minorHAnsi" w:cstheme="minorHAnsi"/>
          <w:b/>
          <w:sz w:val="22"/>
          <w:szCs w:val="22"/>
          <w:u w:val="single"/>
          <w:lang w:val="en-US"/>
        </w:rPr>
        <w:t>AGENDA</w:t>
      </w:r>
    </w:p>
    <w:p w:rsidR="00822BC4" w:rsidRPr="008176DD" w:rsidRDefault="00822BC4" w:rsidP="00AB497C">
      <w:pPr>
        <w:pStyle w:val="ListParagraph"/>
        <w:keepNext/>
        <w:keepLines/>
        <w:numPr>
          <w:ilvl w:val="0"/>
          <w:numId w:val="2"/>
        </w:numPr>
        <w:spacing w:before="200" w:after="200" w:line="276" w:lineRule="auto"/>
        <w:ind w:left="714" w:hanging="357"/>
        <w:contextualSpacing w:val="0"/>
        <w:rPr>
          <w:rFonts w:asciiTheme="minorHAnsi" w:hAnsiTheme="minorHAnsi" w:cstheme="minorHAnsi"/>
          <w:sz w:val="22"/>
          <w:szCs w:val="22"/>
          <w:lang w:val="en-US"/>
        </w:rPr>
      </w:pPr>
      <w:r w:rsidRPr="008176DD">
        <w:rPr>
          <w:rFonts w:asciiTheme="minorHAnsi" w:hAnsiTheme="minorHAnsi" w:cstheme="minorHAnsi"/>
          <w:sz w:val="22"/>
          <w:szCs w:val="22"/>
          <w:lang w:val="en-US"/>
        </w:rPr>
        <w:t>To cancel the Company’s private placement memorandum dated January 2018;</w:t>
      </w:r>
    </w:p>
    <w:p w:rsidR="00822BC4" w:rsidRPr="008176DD" w:rsidRDefault="00822BC4" w:rsidP="00AB497C">
      <w:pPr>
        <w:pStyle w:val="ListParagraph"/>
        <w:keepNext/>
        <w:keepLines/>
        <w:numPr>
          <w:ilvl w:val="0"/>
          <w:numId w:val="2"/>
        </w:numPr>
        <w:spacing w:before="200" w:after="200" w:line="276" w:lineRule="auto"/>
        <w:ind w:left="714" w:hanging="357"/>
        <w:contextualSpacing w:val="0"/>
        <w:rPr>
          <w:rFonts w:asciiTheme="minorHAnsi" w:hAnsiTheme="minorHAnsi" w:cstheme="minorHAnsi"/>
          <w:sz w:val="22"/>
          <w:szCs w:val="22"/>
          <w:lang w:val="en-US"/>
        </w:rPr>
      </w:pPr>
      <w:r w:rsidRPr="008176DD">
        <w:rPr>
          <w:rFonts w:asciiTheme="minorHAnsi" w:hAnsiTheme="minorHAnsi" w:cstheme="minorHAnsi"/>
          <w:sz w:val="22"/>
          <w:szCs w:val="22"/>
          <w:lang w:val="en-US"/>
        </w:rPr>
        <w:t>To approve the new listing prospectus;</w:t>
      </w:r>
    </w:p>
    <w:p w:rsidR="00066829" w:rsidRPr="008176DD" w:rsidRDefault="00822BC4" w:rsidP="00AB497C">
      <w:pPr>
        <w:pStyle w:val="ListParagraph"/>
        <w:keepNext/>
        <w:keepLines/>
        <w:numPr>
          <w:ilvl w:val="0"/>
          <w:numId w:val="2"/>
        </w:numPr>
        <w:spacing w:before="200" w:after="200" w:line="276" w:lineRule="auto"/>
        <w:ind w:left="714" w:hanging="357"/>
        <w:contextualSpacing w:val="0"/>
        <w:rPr>
          <w:rFonts w:asciiTheme="minorHAnsi" w:hAnsiTheme="minorHAnsi" w:cstheme="minorHAnsi"/>
          <w:sz w:val="22"/>
          <w:szCs w:val="22"/>
          <w:lang w:val="en-US"/>
        </w:rPr>
      </w:pPr>
      <w:r w:rsidRPr="008176DD">
        <w:rPr>
          <w:rFonts w:asciiTheme="minorHAnsi" w:hAnsiTheme="minorHAnsi" w:cstheme="minorHAnsi"/>
          <w:sz w:val="22"/>
          <w:szCs w:val="22"/>
          <w:lang w:val="en-US"/>
        </w:rPr>
        <w:t>Miscellaneous.</w:t>
      </w:r>
    </w:p>
    <w:p w:rsidR="009F30CF" w:rsidRDefault="009F30CF" w:rsidP="00375CA1">
      <w:pPr>
        <w:pBdr>
          <w:bottom w:val="single" w:sz="4" w:space="1" w:color="auto"/>
        </w:pBdr>
        <w:spacing w:before="200" w:after="200" w:line="276" w:lineRule="auto"/>
        <w:rPr>
          <w:rFonts w:asciiTheme="minorHAnsi" w:hAnsiTheme="minorHAnsi" w:cstheme="minorHAnsi"/>
          <w:sz w:val="22"/>
          <w:szCs w:val="22"/>
        </w:rPr>
      </w:pPr>
    </w:p>
    <w:p w:rsidR="00375CA1" w:rsidRDefault="00375CA1" w:rsidP="009F30CF">
      <w:pPr>
        <w:spacing w:before="200" w:after="200" w:line="276" w:lineRule="auto"/>
        <w:rPr>
          <w:rFonts w:asciiTheme="minorHAnsi" w:hAnsiTheme="minorHAnsi" w:cstheme="minorHAnsi"/>
          <w:sz w:val="22"/>
          <w:szCs w:val="22"/>
          <w:lang w:val="en-US"/>
        </w:rPr>
      </w:pPr>
      <w:r w:rsidRPr="00375CA1">
        <w:rPr>
          <w:rFonts w:asciiTheme="minorHAnsi" w:hAnsiTheme="minorHAnsi" w:cstheme="minorHAnsi"/>
          <w:sz w:val="22"/>
          <w:szCs w:val="22"/>
          <w:lang w:val="en-US"/>
        </w:rPr>
        <w:t>The Board of Directors of the Company proposes to the shareholders of the Company to vote in favor of the following draft resolutions:</w:t>
      </w:r>
    </w:p>
    <w:p w:rsidR="00A83ADC" w:rsidRPr="00375CA1" w:rsidRDefault="00A83ADC" w:rsidP="009F30CF">
      <w:pPr>
        <w:spacing w:before="200" w:after="200" w:line="276" w:lineRule="auto"/>
        <w:rPr>
          <w:rFonts w:asciiTheme="minorHAnsi" w:hAnsiTheme="minorHAnsi" w:cstheme="minorHAnsi"/>
          <w:sz w:val="22"/>
          <w:szCs w:val="22"/>
          <w:lang w:val="en-US"/>
        </w:rPr>
      </w:pPr>
    </w:p>
    <w:p w:rsidR="009F30CF" w:rsidRPr="008176DD" w:rsidRDefault="009F30CF" w:rsidP="009F30CF">
      <w:pPr>
        <w:spacing w:before="200" w:after="200" w:line="276" w:lineRule="auto"/>
        <w:jc w:val="center"/>
        <w:rPr>
          <w:rFonts w:asciiTheme="minorHAnsi" w:hAnsiTheme="minorHAnsi" w:cstheme="minorHAnsi"/>
          <w:b/>
          <w:sz w:val="22"/>
          <w:szCs w:val="22"/>
          <w:u w:val="single"/>
          <w:lang w:val="en-US"/>
        </w:rPr>
      </w:pPr>
      <w:r w:rsidRPr="008176DD">
        <w:rPr>
          <w:rFonts w:asciiTheme="minorHAnsi" w:hAnsiTheme="minorHAnsi" w:cstheme="minorHAnsi"/>
          <w:b/>
          <w:sz w:val="22"/>
          <w:szCs w:val="22"/>
          <w:u w:val="single"/>
          <w:lang w:val="en-US"/>
        </w:rPr>
        <w:t>First resolution</w:t>
      </w:r>
    </w:p>
    <w:p w:rsidR="00375CA1" w:rsidRDefault="009F30CF" w:rsidP="00375CA1">
      <w:pPr>
        <w:spacing w:line="360" w:lineRule="auto"/>
        <w:rPr>
          <w:lang w:val="en-US"/>
        </w:rPr>
      </w:pPr>
      <w:r w:rsidRPr="008176DD">
        <w:rPr>
          <w:rFonts w:asciiTheme="minorHAnsi" w:hAnsiTheme="minorHAnsi" w:cstheme="minorHAnsi"/>
          <w:sz w:val="22"/>
          <w:szCs w:val="22"/>
          <w:lang w:val="en-US"/>
        </w:rPr>
        <w:t xml:space="preserve">The Meeting </w:t>
      </w:r>
      <w:r w:rsidR="00375CA1" w:rsidRPr="00253C1C">
        <w:rPr>
          <w:lang w:val="en-US"/>
        </w:rPr>
        <w:t xml:space="preserve">noted that the Company is currently preparing the new listing </w:t>
      </w:r>
      <w:r w:rsidR="00375CA1" w:rsidRPr="00253C1C">
        <w:rPr>
          <w:color w:val="000000"/>
          <w:lang w:val="en-US"/>
        </w:rPr>
        <w:t>prospectus</w:t>
      </w:r>
      <w:r w:rsidR="00375CA1" w:rsidRPr="00253C1C">
        <w:rPr>
          <w:lang w:val="en-US"/>
        </w:rPr>
        <w:t xml:space="preserve"> in connection with the offering of statutory subscription rights (the “</w:t>
      </w:r>
      <w:r w:rsidR="00375CA1" w:rsidRPr="00253C1C">
        <w:rPr>
          <w:b/>
          <w:lang w:val="en-US"/>
        </w:rPr>
        <w:t>Subscription Rights</w:t>
      </w:r>
      <w:r w:rsidR="00375CA1" w:rsidRPr="00253C1C">
        <w:rPr>
          <w:lang w:val="en-US"/>
        </w:rPr>
        <w:t>”) to the existing shareholders of the Class A Ordinary Shares pursuant to article 5.4 of the articles of association of the Company and the private placement of any rump shares to be issued in connection with the offering of the Subscription Rights to MiFID II qualified investors after the exercise of the Subscription Rights during the relevant rights exercise period (the “</w:t>
      </w:r>
      <w:r w:rsidR="00375CA1" w:rsidRPr="00253C1C">
        <w:rPr>
          <w:b/>
          <w:bCs/>
          <w:lang w:val="en-US"/>
        </w:rPr>
        <w:t>Prospectus</w:t>
      </w:r>
      <w:r w:rsidR="00375CA1" w:rsidRPr="00253C1C">
        <w:rPr>
          <w:lang w:val="en-US"/>
        </w:rPr>
        <w:t>”).</w:t>
      </w:r>
    </w:p>
    <w:p w:rsidR="00375CA1" w:rsidRPr="00253C1C" w:rsidRDefault="00375CA1" w:rsidP="00375CA1">
      <w:pPr>
        <w:spacing w:line="360" w:lineRule="auto"/>
        <w:rPr>
          <w:lang w:val="en-US"/>
        </w:rPr>
      </w:pPr>
    </w:p>
    <w:p w:rsidR="00375CA1" w:rsidRPr="00253C1C" w:rsidRDefault="00375CA1" w:rsidP="00375CA1">
      <w:pPr>
        <w:spacing w:line="360" w:lineRule="auto"/>
        <w:rPr>
          <w:lang w:val="en-US"/>
        </w:rPr>
      </w:pPr>
      <w:r w:rsidRPr="00253C1C">
        <w:rPr>
          <w:lang w:val="en-US"/>
        </w:rPr>
        <w:t xml:space="preserve">It is noted that the </w:t>
      </w:r>
      <w:r w:rsidRPr="00253C1C">
        <w:rPr>
          <w:color w:val="000000"/>
          <w:lang w:val="en-US"/>
        </w:rPr>
        <w:t xml:space="preserve">intention is for the </w:t>
      </w:r>
      <w:r w:rsidRPr="00253C1C">
        <w:rPr>
          <w:lang w:val="en-US"/>
        </w:rPr>
        <w:t xml:space="preserve">Prospectus </w:t>
      </w:r>
      <w:r w:rsidRPr="00253C1C">
        <w:rPr>
          <w:color w:val="000000"/>
          <w:lang w:val="en-US"/>
        </w:rPr>
        <w:t>to</w:t>
      </w:r>
      <w:r w:rsidRPr="00253C1C">
        <w:rPr>
          <w:lang w:val="en-US"/>
        </w:rPr>
        <w:t xml:space="preserve"> be the only issuing document of the Company pursuant to</w:t>
      </w:r>
      <w:r w:rsidRPr="00253C1C">
        <w:rPr>
          <w:color w:val="000000"/>
          <w:lang w:val="en-US"/>
        </w:rPr>
        <w:t xml:space="preserve"> article 38</w:t>
      </w:r>
      <w:r w:rsidRPr="00253C1C">
        <w:rPr>
          <w:lang w:val="en-US"/>
        </w:rPr>
        <w:t xml:space="preserve"> the law of 23 July 2016 on reserved alternative investment funds</w:t>
      </w:r>
      <w:r w:rsidR="00A83ADC">
        <w:rPr>
          <w:lang w:val="en-US"/>
        </w:rPr>
        <w:t>.</w:t>
      </w:r>
    </w:p>
    <w:p w:rsidR="009F30CF" w:rsidRPr="008176DD" w:rsidRDefault="00375CA1" w:rsidP="009F30CF">
      <w:pPr>
        <w:spacing w:before="200" w:after="200" w:line="276"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The Meeting </w:t>
      </w:r>
      <w:r w:rsidR="009F30CF" w:rsidRPr="008176DD">
        <w:rPr>
          <w:rFonts w:asciiTheme="minorHAnsi" w:hAnsiTheme="minorHAnsi" w:cstheme="minorHAnsi"/>
          <w:sz w:val="22"/>
          <w:szCs w:val="22"/>
          <w:lang w:val="en-US"/>
        </w:rPr>
        <w:t>resolve</w:t>
      </w:r>
      <w:r>
        <w:rPr>
          <w:rFonts w:asciiTheme="minorHAnsi" w:hAnsiTheme="minorHAnsi" w:cstheme="minorHAnsi"/>
          <w:sz w:val="22"/>
          <w:szCs w:val="22"/>
          <w:lang w:val="en-US"/>
        </w:rPr>
        <w:t>d</w:t>
      </w:r>
      <w:r w:rsidR="009F30CF" w:rsidRPr="008176DD">
        <w:rPr>
          <w:rFonts w:asciiTheme="minorHAnsi" w:hAnsiTheme="minorHAnsi" w:cstheme="minorHAnsi"/>
          <w:sz w:val="22"/>
          <w:szCs w:val="22"/>
          <w:lang w:val="en-US"/>
        </w:rPr>
        <w:t xml:space="preserve"> to cancel the Company’s private placemen</w:t>
      </w:r>
      <w:r w:rsidR="00086579">
        <w:rPr>
          <w:rFonts w:asciiTheme="minorHAnsi" w:hAnsiTheme="minorHAnsi" w:cstheme="minorHAnsi"/>
          <w:sz w:val="22"/>
          <w:szCs w:val="22"/>
          <w:lang w:val="en-US"/>
        </w:rPr>
        <w:t>t memorand</w:t>
      </w:r>
      <w:r>
        <w:rPr>
          <w:rFonts w:asciiTheme="minorHAnsi" w:hAnsiTheme="minorHAnsi" w:cstheme="minorHAnsi"/>
          <w:sz w:val="22"/>
          <w:szCs w:val="22"/>
          <w:lang w:val="en-US"/>
        </w:rPr>
        <w:t>um dated January 2018 and granted</w:t>
      </w:r>
      <w:r w:rsidR="00086579">
        <w:rPr>
          <w:rFonts w:asciiTheme="minorHAnsi" w:hAnsiTheme="minorHAnsi" w:cstheme="minorHAnsi"/>
          <w:sz w:val="22"/>
          <w:szCs w:val="22"/>
          <w:lang w:val="en-US"/>
        </w:rPr>
        <w:t xml:space="preserve"> power to any director of the Company, each acting individually and with full power of substitution to execute, ratify and deliver or cause to be executed, ratified and delivered any and all agreements</w:t>
      </w:r>
      <w:r w:rsidR="00482E29">
        <w:rPr>
          <w:rFonts w:asciiTheme="minorHAnsi" w:hAnsiTheme="minorHAnsi" w:cstheme="minorHAnsi"/>
          <w:sz w:val="22"/>
          <w:szCs w:val="22"/>
          <w:lang w:val="en-US"/>
        </w:rPr>
        <w:t>,</w:t>
      </w:r>
      <w:r w:rsidR="00086579">
        <w:rPr>
          <w:rFonts w:asciiTheme="minorHAnsi" w:hAnsiTheme="minorHAnsi" w:cstheme="minorHAnsi"/>
          <w:sz w:val="22"/>
          <w:szCs w:val="22"/>
          <w:lang w:val="en-US"/>
        </w:rPr>
        <w:t xml:space="preserve"> notices or other documents and to do or cause to be done any and all such other acts </w:t>
      </w:r>
      <w:r w:rsidR="00086579">
        <w:rPr>
          <w:rFonts w:asciiTheme="minorHAnsi" w:hAnsiTheme="minorHAnsi" w:cstheme="minorHAnsi"/>
          <w:sz w:val="22"/>
          <w:szCs w:val="22"/>
          <w:lang w:val="en-US"/>
        </w:rPr>
        <w:lastRenderedPageBreak/>
        <w:t>and things as, in the opinion of any such director, may be necessary, appropriate or desirable in order to enable the Company to carry out fully and promptly the purposes and intent of the foregoing resolution.</w:t>
      </w:r>
    </w:p>
    <w:p w:rsidR="009F30CF" w:rsidRPr="008176DD" w:rsidRDefault="009F30CF" w:rsidP="009F30CF">
      <w:pPr>
        <w:spacing w:before="200" w:after="200" w:line="276" w:lineRule="auto"/>
        <w:jc w:val="center"/>
        <w:rPr>
          <w:rFonts w:asciiTheme="minorHAnsi" w:hAnsiTheme="minorHAnsi" w:cstheme="minorHAnsi"/>
          <w:b/>
          <w:sz w:val="22"/>
          <w:szCs w:val="22"/>
          <w:u w:val="single"/>
          <w:lang w:val="en-US"/>
        </w:rPr>
      </w:pPr>
      <w:r w:rsidRPr="008176DD">
        <w:rPr>
          <w:rFonts w:asciiTheme="minorHAnsi" w:hAnsiTheme="minorHAnsi" w:cstheme="minorHAnsi"/>
          <w:b/>
          <w:sz w:val="22"/>
          <w:szCs w:val="22"/>
          <w:u w:val="single"/>
          <w:lang w:val="en-US"/>
        </w:rPr>
        <w:t>Second resolution</w:t>
      </w:r>
    </w:p>
    <w:p w:rsidR="00A83ADC" w:rsidRDefault="00375CA1" w:rsidP="009F30CF">
      <w:pPr>
        <w:spacing w:before="200" w:after="200" w:line="276" w:lineRule="auto"/>
        <w:rPr>
          <w:lang w:val="en-US"/>
        </w:rPr>
      </w:pPr>
      <w:r>
        <w:rPr>
          <w:rFonts w:asciiTheme="minorHAnsi" w:hAnsiTheme="minorHAnsi" w:cstheme="minorHAnsi"/>
          <w:sz w:val="22"/>
          <w:szCs w:val="22"/>
          <w:lang w:val="en-US"/>
        </w:rPr>
        <w:t>The Meeting resolved</w:t>
      </w:r>
      <w:r w:rsidR="009F30CF" w:rsidRPr="008176DD">
        <w:rPr>
          <w:rFonts w:asciiTheme="minorHAnsi" w:hAnsiTheme="minorHAnsi" w:cstheme="minorHAnsi"/>
          <w:sz w:val="22"/>
          <w:szCs w:val="22"/>
          <w:lang w:val="en-US"/>
        </w:rPr>
        <w:t xml:space="preserve"> to approve the </w:t>
      </w:r>
      <w:r>
        <w:rPr>
          <w:rFonts w:asciiTheme="minorHAnsi" w:hAnsiTheme="minorHAnsi" w:cstheme="minorHAnsi"/>
          <w:sz w:val="22"/>
          <w:szCs w:val="22"/>
          <w:lang w:val="en-US"/>
        </w:rPr>
        <w:t xml:space="preserve">Prospectus </w:t>
      </w:r>
      <w:r w:rsidR="00DE7327">
        <w:rPr>
          <w:rFonts w:asciiTheme="minorHAnsi" w:hAnsiTheme="minorHAnsi" w:cstheme="minorHAnsi"/>
          <w:sz w:val="22"/>
          <w:szCs w:val="22"/>
          <w:lang w:val="en-US"/>
        </w:rPr>
        <w:t xml:space="preserve">and the terms contained therein in the draft form </w:t>
      </w:r>
      <w:r w:rsidR="00086579">
        <w:rPr>
          <w:rFonts w:asciiTheme="minorHAnsi" w:hAnsiTheme="minorHAnsi" w:cstheme="minorHAnsi"/>
          <w:sz w:val="22"/>
          <w:szCs w:val="22"/>
          <w:lang w:val="en-US"/>
        </w:rPr>
        <w:t>available on t</w:t>
      </w:r>
      <w:r>
        <w:rPr>
          <w:rFonts w:asciiTheme="minorHAnsi" w:hAnsiTheme="minorHAnsi" w:cstheme="minorHAnsi"/>
          <w:sz w:val="22"/>
          <w:szCs w:val="22"/>
          <w:lang w:val="en-US"/>
        </w:rPr>
        <w:t xml:space="preserve">he Company’s website </w:t>
      </w:r>
      <w:r w:rsidR="00DE7327">
        <w:rPr>
          <w:rFonts w:asciiTheme="minorHAnsi" w:hAnsiTheme="minorHAnsi" w:cstheme="minorHAnsi"/>
          <w:sz w:val="22"/>
          <w:szCs w:val="22"/>
          <w:lang w:val="en-US"/>
        </w:rPr>
        <w:t xml:space="preserve">and that such Prospectus, once final, shall </w:t>
      </w:r>
      <w:r w:rsidRPr="00253C1C">
        <w:rPr>
          <w:lang w:val="en-US"/>
        </w:rPr>
        <w:t>be the only issuing document of the Company pursuant to</w:t>
      </w:r>
      <w:r w:rsidRPr="00253C1C">
        <w:rPr>
          <w:color w:val="000000"/>
          <w:lang w:val="en-US"/>
        </w:rPr>
        <w:t xml:space="preserve"> article 38</w:t>
      </w:r>
      <w:r w:rsidRPr="00253C1C">
        <w:rPr>
          <w:lang w:val="en-US"/>
        </w:rPr>
        <w:t xml:space="preserve"> the law of 23 July 2016 on reserved alternative investment funds</w:t>
      </w:r>
      <w:r w:rsidR="00A83ADC" w:rsidRPr="00A83ADC">
        <w:rPr>
          <w:rFonts w:asciiTheme="minorHAnsi" w:hAnsiTheme="minorHAnsi" w:cstheme="minorHAnsi"/>
          <w:sz w:val="22"/>
          <w:szCs w:val="22"/>
          <w:lang w:val="en-US"/>
        </w:rPr>
        <w:t xml:space="preserve"> </w:t>
      </w:r>
      <w:r w:rsidR="00A83ADC">
        <w:rPr>
          <w:rFonts w:asciiTheme="minorHAnsi" w:hAnsiTheme="minorHAnsi" w:cstheme="minorHAnsi"/>
          <w:sz w:val="22"/>
          <w:szCs w:val="22"/>
          <w:lang w:val="en-US"/>
        </w:rPr>
        <w:t xml:space="preserve">and granted power to the board of directors of the Company to </w:t>
      </w:r>
      <w:r w:rsidR="00DE7327">
        <w:rPr>
          <w:rFonts w:asciiTheme="minorHAnsi" w:hAnsiTheme="minorHAnsi" w:cstheme="minorHAnsi"/>
          <w:sz w:val="22"/>
          <w:szCs w:val="22"/>
          <w:lang w:val="en-US"/>
        </w:rPr>
        <w:t>make such non</w:t>
      </w:r>
      <w:r w:rsidR="0079569A">
        <w:rPr>
          <w:rFonts w:asciiTheme="minorHAnsi" w:hAnsiTheme="minorHAnsi" w:cstheme="minorHAnsi"/>
          <w:sz w:val="22"/>
          <w:szCs w:val="22"/>
          <w:lang w:val="en-US"/>
        </w:rPr>
        <w:t>-</w:t>
      </w:r>
      <w:r w:rsidR="00DE7327">
        <w:rPr>
          <w:rFonts w:asciiTheme="minorHAnsi" w:hAnsiTheme="minorHAnsi" w:cstheme="minorHAnsi"/>
          <w:sz w:val="22"/>
          <w:szCs w:val="22"/>
          <w:lang w:val="en-US"/>
        </w:rPr>
        <w:t>material amendment</w:t>
      </w:r>
      <w:r w:rsidR="0079569A">
        <w:rPr>
          <w:rFonts w:asciiTheme="minorHAnsi" w:hAnsiTheme="minorHAnsi" w:cstheme="minorHAnsi"/>
          <w:sz w:val="22"/>
          <w:szCs w:val="22"/>
          <w:lang w:val="en-US"/>
        </w:rPr>
        <w:t>s</w:t>
      </w:r>
      <w:r w:rsidR="00DE7327">
        <w:rPr>
          <w:rFonts w:asciiTheme="minorHAnsi" w:hAnsiTheme="minorHAnsi" w:cstheme="minorHAnsi"/>
          <w:sz w:val="22"/>
          <w:szCs w:val="22"/>
          <w:lang w:val="en-US"/>
        </w:rPr>
        <w:t>, as shall be required to finalise the Prospectus</w:t>
      </w:r>
      <w:r w:rsidRPr="00253C1C">
        <w:rPr>
          <w:lang w:val="en-US"/>
        </w:rPr>
        <w:t xml:space="preserve">. </w:t>
      </w:r>
    </w:p>
    <w:p w:rsidR="00375CA1" w:rsidRDefault="00375CA1" w:rsidP="009F30CF">
      <w:pPr>
        <w:spacing w:before="200" w:after="200" w:line="276" w:lineRule="auto"/>
        <w:rPr>
          <w:rFonts w:asciiTheme="minorHAnsi" w:hAnsiTheme="minorHAnsi" w:cstheme="minorHAnsi"/>
          <w:sz w:val="22"/>
          <w:szCs w:val="22"/>
          <w:lang w:val="en-US"/>
        </w:rPr>
      </w:pPr>
      <w:r w:rsidRPr="00253C1C">
        <w:rPr>
          <w:lang w:val="en-US"/>
        </w:rPr>
        <w:t>The Prospectus shall remain the sole issuing document of the Fund at all time</w:t>
      </w:r>
      <w:r w:rsidRPr="00253C1C">
        <w:rPr>
          <w:color w:val="000000"/>
          <w:lang w:val="en-US"/>
        </w:rPr>
        <w:t>s, whether the Fund is effectively listed or not, and until the Prospectus is further updated or replaced</w:t>
      </w:r>
      <w:r w:rsidRPr="00253C1C">
        <w:rPr>
          <w:lang w:val="en-US"/>
        </w:rPr>
        <w:t>.</w:t>
      </w:r>
    </w:p>
    <w:p w:rsidR="00A86958" w:rsidRPr="008176DD" w:rsidRDefault="00A86958">
      <w:pPr>
        <w:spacing w:after="200" w:line="276" w:lineRule="auto"/>
        <w:jc w:val="left"/>
        <w:rPr>
          <w:rFonts w:asciiTheme="minorHAnsi" w:hAnsiTheme="minorHAnsi" w:cstheme="minorHAnsi"/>
          <w:sz w:val="22"/>
          <w:szCs w:val="22"/>
          <w:lang w:val="en-US"/>
        </w:rPr>
      </w:pPr>
    </w:p>
    <w:sectPr w:rsidR="00A86958" w:rsidRPr="008176D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E30" w:rsidRDefault="00E76E30" w:rsidP="00A73B99">
      <w:r>
        <w:separator/>
      </w:r>
    </w:p>
  </w:endnote>
  <w:endnote w:type="continuationSeparator" w:id="0">
    <w:p w:rsidR="00E76E30" w:rsidRDefault="00E76E30" w:rsidP="00A7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F0" w:rsidRDefault="00E32C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866" w:rsidRDefault="006B4866" w:rsidP="003210F2">
    <w:pPr>
      <w:pStyle w:val="DocID"/>
    </w:pPr>
  </w:p>
  <w:p w:rsidR="0091544A" w:rsidRDefault="0091544A" w:rsidP="0091544A">
    <w:pPr>
      <w:pStyle w:val="DocID"/>
    </w:pPr>
  </w:p>
  <w:p w:rsidR="00E32CF0" w:rsidRPr="00E32CF0" w:rsidRDefault="00E32CF0" w:rsidP="00E32CF0">
    <w:pPr>
      <w:pStyle w:val="DocID"/>
    </w:pPr>
    <w:r>
      <w:t>10584033_4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F0" w:rsidRDefault="00E32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E30" w:rsidRDefault="00E76E30" w:rsidP="00A73B99">
      <w:r>
        <w:separator/>
      </w:r>
    </w:p>
  </w:footnote>
  <w:footnote w:type="continuationSeparator" w:id="0">
    <w:p w:rsidR="00E76E30" w:rsidRDefault="00E76E30" w:rsidP="00A73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F0" w:rsidRDefault="00E32C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F0" w:rsidRDefault="00E32C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F0" w:rsidRDefault="00E32C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5539B"/>
    <w:multiLevelType w:val="singleLevel"/>
    <w:tmpl w:val="D012F92C"/>
    <w:lvl w:ilvl="0">
      <w:start w:val="1"/>
      <w:numFmt w:val="upperRoman"/>
      <w:lvlText w:val="%1."/>
      <w:lvlJc w:val="left"/>
      <w:pPr>
        <w:ind w:left="567" w:hanging="397"/>
      </w:pPr>
      <w:rPr>
        <w:rFonts w:hint="default"/>
      </w:rPr>
    </w:lvl>
  </w:abstractNum>
  <w:abstractNum w:abstractNumId="1" w15:restartNumberingAfterBreak="0">
    <w:nsid w:val="418B2E10"/>
    <w:multiLevelType w:val="hybridMultilevel"/>
    <w:tmpl w:val="2CD8A25A"/>
    <w:lvl w:ilvl="0" w:tplc="59F22ED0">
      <w:start w:val="1"/>
      <w:numFmt w:val="decimal"/>
      <w:lvlText w:val="%1."/>
      <w:lvlJc w:val="left"/>
      <w:pPr>
        <w:ind w:left="56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B99"/>
    <w:rsid w:val="00034F3D"/>
    <w:rsid w:val="00044E88"/>
    <w:rsid w:val="00066829"/>
    <w:rsid w:val="00086579"/>
    <w:rsid w:val="000B3CBD"/>
    <w:rsid w:val="000C13A2"/>
    <w:rsid w:val="001B432D"/>
    <w:rsid w:val="001C561E"/>
    <w:rsid w:val="001E22CE"/>
    <w:rsid w:val="001E7F68"/>
    <w:rsid w:val="00214CC1"/>
    <w:rsid w:val="00291E02"/>
    <w:rsid w:val="002B2D4C"/>
    <w:rsid w:val="00311BEE"/>
    <w:rsid w:val="003210F2"/>
    <w:rsid w:val="00331776"/>
    <w:rsid w:val="003523B4"/>
    <w:rsid w:val="00375CA1"/>
    <w:rsid w:val="003C1FB3"/>
    <w:rsid w:val="004645DC"/>
    <w:rsid w:val="00482E29"/>
    <w:rsid w:val="004B19B2"/>
    <w:rsid w:val="005444A8"/>
    <w:rsid w:val="005B5ECE"/>
    <w:rsid w:val="005B637C"/>
    <w:rsid w:val="00662ABF"/>
    <w:rsid w:val="006B4866"/>
    <w:rsid w:val="00756DBD"/>
    <w:rsid w:val="0079569A"/>
    <w:rsid w:val="007C6584"/>
    <w:rsid w:val="008176DD"/>
    <w:rsid w:val="00822BC4"/>
    <w:rsid w:val="00896759"/>
    <w:rsid w:val="008E4CE7"/>
    <w:rsid w:val="008E6335"/>
    <w:rsid w:val="0090194B"/>
    <w:rsid w:val="0091544A"/>
    <w:rsid w:val="00931DE1"/>
    <w:rsid w:val="00962DE8"/>
    <w:rsid w:val="009C320B"/>
    <w:rsid w:val="009F30CF"/>
    <w:rsid w:val="00A03C32"/>
    <w:rsid w:val="00A422BB"/>
    <w:rsid w:val="00A73B99"/>
    <w:rsid w:val="00A756B3"/>
    <w:rsid w:val="00A83ADC"/>
    <w:rsid w:val="00A86958"/>
    <w:rsid w:val="00AB497C"/>
    <w:rsid w:val="00AC49D5"/>
    <w:rsid w:val="00B2620C"/>
    <w:rsid w:val="00B75EE2"/>
    <w:rsid w:val="00BB4E51"/>
    <w:rsid w:val="00BE128C"/>
    <w:rsid w:val="00C05068"/>
    <w:rsid w:val="00C80A79"/>
    <w:rsid w:val="00CE0DD8"/>
    <w:rsid w:val="00DB2AAC"/>
    <w:rsid w:val="00DB7B6B"/>
    <w:rsid w:val="00DE7327"/>
    <w:rsid w:val="00E16D78"/>
    <w:rsid w:val="00E32CF0"/>
    <w:rsid w:val="00E76E30"/>
    <w:rsid w:val="00EE7221"/>
    <w:rsid w:val="00F430F6"/>
    <w:rsid w:val="00F8231D"/>
    <w:rsid w:val="00F838E5"/>
    <w:rsid w:val="00FD601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0E50C5-7704-4146-AAF3-18BC5A9E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Light" w:eastAsiaTheme="minorHAnsi" w:hAnsi="Calibri Light" w:cs="Times New Roman"/>
        <w:sz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20B"/>
    <w:pPr>
      <w:spacing w:after="0" w:line="240" w:lineRule="auto"/>
      <w:jc w:val="both"/>
    </w:pPr>
    <w:rPr>
      <w:rFonts w:ascii="Arial" w:eastAsia="Times New Roman" w:hAnsi="Arial"/>
      <w:sz w:val="20"/>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ID">
    <w:name w:val="DocID"/>
    <w:basedOn w:val="BodyText"/>
    <w:next w:val="Footer"/>
    <w:link w:val="DocIDChar"/>
    <w:rsid w:val="00E32CF0"/>
    <w:pPr>
      <w:spacing w:after="0"/>
      <w:jc w:val="left"/>
    </w:pPr>
    <w:rPr>
      <w:rFonts w:eastAsiaTheme="minorHAnsi" w:cs="Arial"/>
      <w:color w:val="000000"/>
      <w:sz w:val="16"/>
      <w:szCs w:val="20"/>
      <w:lang w:val="en-GB"/>
    </w:rPr>
  </w:style>
  <w:style w:type="character" w:customStyle="1" w:styleId="DocIDChar">
    <w:name w:val="DocID Char"/>
    <w:basedOn w:val="DefaultParagraphFont"/>
    <w:link w:val="DocID"/>
    <w:rsid w:val="00E32CF0"/>
    <w:rPr>
      <w:rFonts w:ascii="Arial" w:hAnsi="Arial" w:cs="Arial"/>
      <w:color w:val="000000"/>
      <w:sz w:val="16"/>
    </w:rPr>
  </w:style>
  <w:style w:type="paragraph" w:styleId="BodyText">
    <w:name w:val="Body Text"/>
    <w:basedOn w:val="Normal"/>
    <w:link w:val="BodyTextChar"/>
    <w:uiPriority w:val="99"/>
    <w:semiHidden/>
    <w:unhideWhenUsed/>
    <w:rsid w:val="00A73B99"/>
    <w:pPr>
      <w:spacing w:after="120"/>
    </w:pPr>
  </w:style>
  <w:style w:type="character" w:customStyle="1" w:styleId="BodyTextChar">
    <w:name w:val="Body Text Char"/>
    <w:basedOn w:val="DefaultParagraphFont"/>
    <w:link w:val="BodyText"/>
    <w:uiPriority w:val="99"/>
    <w:semiHidden/>
    <w:rsid w:val="00A73B99"/>
  </w:style>
  <w:style w:type="paragraph" w:styleId="Footer">
    <w:name w:val="footer"/>
    <w:basedOn w:val="Normal"/>
    <w:link w:val="FooterChar"/>
    <w:uiPriority w:val="99"/>
    <w:unhideWhenUsed/>
    <w:rsid w:val="00A73B99"/>
    <w:pPr>
      <w:tabs>
        <w:tab w:val="center" w:pos="4680"/>
        <w:tab w:val="right" w:pos="9360"/>
      </w:tabs>
    </w:pPr>
  </w:style>
  <w:style w:type="character" w:customStyle="1" w:styleId="FooterChar">
    <w:name w:val="Footer Char"/>
    <w:basedOn w:val="DefaultParagraphFont"/>
    <w:link w:val="Footer"/>
    <w:uiPriority w:val="99"/>
    <w:rsid w:val="00A73B99"/>
  </w:style>
  <w:style w:type="paragraph" w:styleId="Header">
    <w:name w:val="header"/>
    <w:basedOn w:val="Normal"/>
    <w:link w:val="HeaderChar"/>
    <w:uiPriority w:val="99"/>
    <w:unhideWhenUsed/>
    <w:rsid w:val="00A73B99"/>
    <w:pPr>
      <w:tabs>
        <w:tab w:val="center" w:pos="4680"/>
        <w:tab w:val="right" w:pos="9360"/>
      </w:tabs>
    </w:pPr>
  </w:style>
  <w:style w:type="character" w:customStyle="1" w:styleId="HeaderChar">
    <w:name w:val="Header Char"/>
    <w:basedOn w:val="DefaultParagraphFont"/>
    <w:link w:val="Header"/>
    <w:uiPriority w:val="99"/>
    <w:rsid w:val="00A73B99"/>
  </w:style>
  <w:style w:type="paragraph" w:styleId="ListParagraph">
    <w:name w:val="List Paragraph"/>
    <w:basedOn w:val="Normal"/>
    <w:uiPriority w:val="34"/>
    <w:qFormat/>
    <w:rsid w:val="009F30CF"/>
    <w:pPr>
      <w:ind w:left="720"/>
      <w:contextualSpacing/>
    </w:pPr>
  </w:style>
  <w:style w:type="table" w:styleId="TableGrid">
    <w:name w:val="Table Grid"/>
    <w:basedOn w:val="TableNormal"/>
    <w:uiPriority w:val="59"/>
    <w:rsid w:val="00214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54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44A"/>
    <w:rPr>
      <w:rFonts w:ascii="Segoe UI" w:eastAsia="Times New Roman"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C6075-9122-4047-B0A2-FEA7F3FBE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Pages>2</Pages>
  <Words>431</Words>
  <Characters>2255</Characters>
  <Application>Microsoft Office Word</Application>
  <DocSecurity>0</DocSecurity>
  <Lines>47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